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81D43" w:rsidRPr="00797FDF" w14:paraId="2B98F4D0" w14:textId="77777777" w:rsidTr="00481D43">
        <w:tc>
          <w:tcPr>
            <w:tcW w:w="10065" w:type="dxa"/>
          </w:tcPr>
          <w:p w14:paraId="0D4D8235" w14:textId="77777777" w:rsidR="00481D43" w:rsidRPr="00797FDF" w:rsidRDefault="00481D43" w:rsidP="00DF68AE">
            <w:pPr>
              <w:jc w:val="center"/>
              <w:rPr>
                <w:b/>
                <w:bCs/>
                <w:sz w:val="22"/>
                <w:szCs w:val="22"/>
              </w:rPr>
            </w:pPr>
            <w:r w:rsidRPr="00797FDF">
              <w:rPr>
                <w:b/>
                <w:bCs/>
                <w:sz w:val="22"/>
                <w:szCs w:val="22"/>
              </w:rPr>
              <w:t>Moduł</w:t>
            </w:r>
          </w:p>
        </w:tc>
      </w:tr>
      <w:tr w:rsidR="00481D43" w:rsidRPr="00797FDF" w14:paraId="2F5667FE" w14:textId="77777777" w:rsidTr="00481D43">
        <w:tc>
          <w:tcPr>
            <w:tcW w:w="10065" w:type="dxa"/>
          </w:tcPr>
          <w:p w14:paraId="25F49D6A" w14:textId="77777777" w:rsidR="00481D43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Moduł I .</w:t>
            </w:r>
            <w:r>
              <w:t xml:space="preserve"> </w:t>
            </w:r>
            <w:r w:rsidRPr="001054EC">
              <w:rPr>
                <w:b/>
                <w:bCs/>
              </w:rPr>
              <w:t>Zaburzenia psychiczne i zachowania u dzieci i młodzieży</w:t>
            </w:r>
            <w:r w:rsidRPr="001054EC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(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40h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) </w:t>
            </w:r>
          </w:p>
          <w:p w14:paraId="3447BAC8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Specyfika pracy z dziećmi i młodzieżą z zaburzeniami </w:t>
            </w:r>
            <w:proofErr w:type="spellStart"/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neurorozwojowymi</w:t>
            </w:r>
            <w:proofErr w:type="spellEnd"/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t. j.:</w:t>
            </w:r>
          </w:p>
          <w:p w14:paraId="3ED56B3D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a) niepełnosprawność intelektualna,</w:t>
            </w:r>
          </w:p>
          <w:p w14:paraId="1C7FE22C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b) zaburzenia komunikacji,</w:t>
            </w:r>
          </w:p>
          <w:p w14:paraId="711471BF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c) zaburzenia ze spectrum autyzmu,</w:t>
            </w:r>
          </w:p>
          <w:p w14:paraId="385C9C55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d) zaburzenia z deficytem uwagi i nadaktywnością,</w:t>
            </w:r>
          </w:p>
          <w:p w14:paraId="53E62ABD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e) specyficzne zaburzenia uczenia się,</w:t>
            </w:r>
          </w:p>
          <w:p w14:paraId="400287E6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f) zaburzenia ruchowe;</w:t>
            </w:r>
          </w:p>
          <w:p w14:paraId="3C246A55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2) Specyfika pracy z dziećmi i młodzieżą z zaburzeniami zachowania.</w:t>
            </w:r>
          </w:p>
          <w:p w14:paraId="5C10084F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3) Specyfika pracy z dziećmi i młodzieżą z zaburzeniami emocji charakterystycznymi dla </w:t>
            </w:r>
          </w:p>
          <w:p w14:paraId="6E1B98D6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dzieci i młodzieży t. j.:</w:t>
            </w:r>
          </w:p>
          <w:p w14:paraId="33C3374A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a) zaburzenia lękowe,</w:t>
            </w:r>
          </w:p>
          <w:p w14:paraId="632CDAF0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b) zaburzenia obsesyjno-kompulsywnymi,</w:t>
            </w:r>
          </w:p>
          <w:p w14:paraId="4AD806D9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c) zaburzenia nastroju, zachowania samobójcze oraz samouszkodzenia;</w:t>
            </w:r>
          </w:p>
          <w:p w14:paraId="5C8B8E9E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4) Specyfika pracy z dziećmi i młodzieżą z zaburzeniami jedzenia, odżywiania się </w:t>
            </w:r>
          </w:p>
          <w:p w14:paraId="70EB30CB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i wydalania.</w:t>
            </w:r>
          </w:p>
          <w:p w14:paraId="09BBBD15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5) Specyfika pracy z dziećmi i młodzieżą z zaburzeniami przywiązania.</w:t>
            </w:r>
          </w:p>
          <w:p w14:paraId="0251804F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6) Specyfika pracy z dziećmi i młodzieżą z zaburzeniami związanymi z używaniem substancji psychoaktywnych.</w:t>
            </w:r>
          </w:p>
          <w:p w14:paraId="0BB41A96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7) Specyfika pracy z dziećmi i młodzieżą z uzależnieniami behawioralnymi.</w:t>
            </w:r>
          </w:p>
          <w:p w14:paraId="176CB5B4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8) Specyfika pracy z dziećmi i młodzieżą z zaburzeniami psychotycznymi.</w:t>
            </w:r>
          </w:p>
          <w:p w14:paraId="40837041" w14:textId="77777777" w:rsidR="00481D43" w:rsidRPr="005B7420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9) Specyfika pracy z dziećmi i młodzieżą zagrożonych zaburzeniami osobowości.</w:t>
            </w:r>
          </w:p>
          <w:p w14:paraId="0D764F36" w14:textId="77777777" w:rsidR="00481D43" w:rsidRPr="00F95DD6" w:rsidRDefault="00481D43" w:rsidP="00DF68AE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EC98178" w14:textId="77777777" w:rsidR="00481D43" w:rsidRPr="00797FDF" w:rsidRDefault="00481D43" w:rsidP="00DF68AE">
            <w:pPr>
              <w:widowControl w:val="0"/>
              <w:tabs>
                <w:tab w:val="left" w:pos="886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481D43" w:rsidRPr="00797FDF" w14:paraId="20D168F0" w14:textId="77777777" w:rsidTr="00481D43">
        <w:tc>
          <w:tcPr>
            <w:tcW w:w="10065" w:type="dxa"/>
          </w:tcPr>
          <w:p w14:paraId="20E04754" w14:textId="77777777" w:rsidR="00481D43" w:rsidRDefault="00481D43" w:rsidP="00DF68AE">
            <w:pPr>
              <w:suppressAutoHyphens/>
              <w:rPr>
                <w:b/>
                <w:bCs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Modu</w:t>
            </w:r>
            <w:r w:rsidRPr="00D54E1A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ł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II </w:t>
            </w:r>
            <w:r w:rsidRPr="00D54E1A">
              <w:rPr>
                <w:b/>
                <w:bCs/>
              </w:rPr>
              <w:t>Psychopatologia, diagnoza nozologiczna i leczenie zaburzeń psychicznych (</w:t>
            </w:r>
            <w:r>
              <w:rPr>
                <w:b/>
                <w:bCs/>
              </w:rPr>
              <w:t>3</w:t>
            </w:r>
            <w:r w:rsidRPr="00D54E1A">
              <w:rPr>
                <w:b/>
                <w:bCs/>
              </w:rPr>
              <w:t>0h)</w:t>
            </w:r>
          </w:p>
          <w:p w14:paraId="571D2300" w14:textId="77777777" w:rsidR="00481D43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</w:pPr>
            <w:r>
              <w:t>Psychopatologia, diagnoza nozologiczna zaburzeń i chorób psychicznych, zaburzeń rozwoju, zaburzeń emocjonalnych i behawioralnych wieku rozwojowego na przestrzeni poszczególnych faz rozwojowych (wg ICD, DSM, DC).</w:t>
            </w:r>
          </w:p>
          <w:p w14:paraId="13D4ADC4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 xml:space="preserve">Mechanizmy i przyczyny powstawania zaburzeń i chorób psychicznych, zaburzeń rozwoju, zaburzeń emocjonalnych i behawioralnych wieku rozwojowego. </w:t>
            </w:r>
          </w:p>
          <w:p w14:paraId="611AE7DB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>Zasady leczenia zaburzeń i chorób psychicznych, zaburzeń rozwoju, zaburzeń emocjonalnych i behawioralnych wieku rozwojowego</w:t>
            </w:r>
          </w:p>
          <w:p w14:paraId="603DAA7A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 xml:space="preserve">Psychopatologia i diagnoza nozologiczna (ICD, DSM) zaburzeń i chorób psychicznych, zaburzeń osobowości i zachowania osób dorosłych. </w:t>
            </w:r>
          </w:p>
          <w:p w14:paraId="38C1F611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>Mechanizmy i przyczyny powstawania zaburzeń i chorób psychicznych, zaburzeń osobowości i zachowania. Leczenie zaburzeń i chorób psychicznych, zaburzeń osobowości i zachowania wieku dorosłego.</w:t>
            </w:r>
          </w:p>
          <w:p w14:paraId="0409CBA9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 xml:space="preserve">Podstawy farmakoterapii. </w:t>
            </w:r>
          </w:p>
          <w:p w14:paraId="06D6D1F0" w14:textId="77777777" w:rsidR="00481D43" w:rsidRPr="00C43D0C" w:rsidRDefault="00481D43" w:rsidP="00DF68AE">
            <w:pPr>
              <w:pStyle w:val="Akapitzlist"/>
              <w:numPr>
                <w:ilvl w:val="0"/>
                <w:numId w:val="7"/>
              </w:numPr>
              <w:suppressAutoHyphens/>
              <w:rPr>
                <w:b/>
                <w:bCs/>
                <w:sz w:val="22"/>
                <w:szCs w:val="22"/>
              </w:rPr>
            </w:pPr>
            <w:r>
              <w:t xml:space="preserve">Kwalifikacja do leczenia psychiatrycznego, w tym z użyciem psychoterapii ze szczególnym uwzględnieniem psychoanalizy, psychoterapii psychoanalitycznej, </w:t>
            </w:r>
            <w:proofErr w:type="spellStart"/>
            <w:r>
              <w:t>psychodynamicznej</w:t>
            </w:r>
            <w:proofErr w:type="spellEnd"/>
            <w:r>
              <w:t>, poznawczo-behawioralnej, systemowej, humanistyczno-</w:t>
            </w:r>
            <w:proofErr w:type="spellStart"/>
            <w:r>
              <w:t>doświadczeniowej</w:t>
            </w:r>
            <w:proofErr w:type="spellEnd"/>
            <w:r>
              <w:t xml:space="preserve"> lub integracyjnej.</w:t>
            </w:r>
          </w:p>
        </w:tc>
      </w:tr>
      <w:tr w:rsidR="00481D43" w:rsidRPr="00797FDF" w14:paraId="4A604B51" w14:textId="77777777" w:rsidTr="00481D43">
        <w:tc>
          <w:tcPr>
            <w:tcW w:w="10065" w:type="dxa"/>
          </w:tcPr>
          <w:p w14:paraId="1CB3736A" w14:textId="77777777" w:rsidR="00481D43" w:rsidRPr="00F95DD6" w:rsidRDefault="00481D43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 xml:space="preserve">Moduł III  </w:t>
            </w:r>
            <w:r w:rsidRPr="00D54E1A">
              <w:rPr>
                <w:b/>
                <w:bCs/>
              </w:rPr>
              <w:t>Podstawy psychoterapii – specyfika prowadzenia psychoterapii dzieci i młodzieży (</w:t>
            </w:r>
            <w:r>
              <w:rPr>
                <w:b/>
                <w:bCs/>
              </w:rPr>
              <w:t>3</w:t>
            </w:r>
            <w:r w:rsidRPr="00D54E1A">
              <w:rPr>
                <w:b/>
                <w:bCs/>
              </w:rPr>
              <w:t>0 h)</w:t>
            </w:r>
          </w:p>
          <w:p w14:paraId="2B5F7423" w14:textId="77777777" w:rsidR="00481D43" w:rsidRPr="00797FDF" w:rsidRDefault="00481D43" w:rsidP="00DF68AE">
            <w:pPr>
              <w:suppressAutoHyphens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>
              <w:t xml:space="preserve">Wybrane elementy wiedzy o osobowości i rozwoju człowieka w cyklu życia, czynniki kształtujące rozwój człowieka i osobowości, rozwój poznawczy, emocjonalny, społeczny, rozwój języka i komunikacji. 2) Teoretyczne podstawy psychoterapii. 3) Zagadnienia etyczne w psychoterapii. 4) Zagadnienia prawne w psychoterapii. 5) Czynniki </w:t>
            </w:r>
            <w:proofErr w:type="spellStart"/>
            <w:r>
              <w:t>socjokulturowe</w:t>
            </w:r>
            <w:proofErr w:type="spellEnd"/>
            <w:r>
              <w:t xml:space="preserve"> w psychoterapii. 6) Podstawy dobrej praktyki, w tym zasady praktyki opartej na dowodach. 7) Podstawy wiedzy z zakresu psychologii klinicznej. 8) Psychoterapia indywidualna, grupowa, rodzinna - kryteria wyboru metody i formy w leczeniu, ze szczególnym uwzględnieniem dzieci i młodzieży. 9) Psychoterapia indywidualna, grupowa, rodzinna - kryteria wyboru metody i formy w leczeniu dorosłych, dzieci i młodzież. 10) Główne kierunki w psychoterapii: a) założenia, zastosowania, skuteczność, ograniczenia podejścia psychoanalitycznego oraz </w:t>
            </w:r>
            <w:proofErr w:type="spellStart"/>
            <w:r>
              <w:t>psychodynamicznego</w:t>
            </w:r>
            <w:proofErr w:type="spellEnd"/>
            <w:r>
              <w:t xml:space="preserve">, b) założenia, zastosowania, skuteczność, ograniczenia modelu </w:t>
            </w:r>
            <w:proofErr w:type="spellStart"/>
            <w:r>
              <w:t>poznawczobehawioralnego</w:t>
            </w:r>
            <w:proofErr w:type="spellEnd"/>
            <w:r>
              <w:t xml:space="preserve">, c) założenia, zastosowania, skuteczność, ograniczenia podejścia systemowego, praca z </w:t>
            </w:r>
            <w:proofErr w:type="spellStart"/>
            <w:r>
              <w:t>genogramem</w:t>
            </w:r>
            <w:proofErr w:type="spellEnd"/>
            <w:r>
              <w:t>, d) założenia, zastosowania, skuteczność, ograniczenia podejścia humanistyczno-</w:t>
            </w:r>
            <w:proofErr w:type="spellStart"/>
            <w:r>
              <w:t>doświadczeniowego</w:t>
            </w:r>
            <w:proofErr w:type="spellEnd"/>
            <w:r>
              <w:t>, e) założenia, zastosowania, skuteczność, ograniczenia podejścia integracyjnego, f) teoria procesu psychoterapeutycznego z uwzględnieniem czynników leczących w danym podejściu.</w:t>
            </w:r>
          </w:p>
        </w:tc>
      </w:tr>
      <w:tr w:rsidR="00481D43" w:rsidRPr="00797FDF" w14:paraId="494397DB" w14:textId="77777777" w:rsidTr="00481D43">
        <w:tc>
          <w:tcPr>
            <w:tcW w:w="10065" w:type="dxa"/>
          </w:tcPr>
          <w:p w14:paraId="6B363E6F" w14:textId="77777777" w:rsidR="00481D43" w:rsidRDefault="00481D43" w:rsidP="00DF68AE">
            <w:pPr>
              <w:suppressAutoHyphens/>
              <w:rPr>
                <w:b/>
                <w:bCs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Moduł </w:t>
            </w:r>
            <w:r w:rsidRPr="00D54E1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I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V </w:t>
            </w:r>
            <w:r>
              <w:rPr>
                <w:b/>
                <w:bCs/>
              </w:rPr>
              <w:t xml:space="preserve">Specyfika prowadzenia psychoterapii dzieci i młodzieży </w:t>
            </w:r>
            <w:r w:rsidRPr="00D54E1A">
              <w:rPr>
                <w:b/>
                <w:bCs/>
              </w:rPr>
              <w:t>(</w:t>
            </w:r>
            <w:r>
              <w:rPr>
                <w:b/>
                <w:bCs/>
              </w:rPr>
              <w:t>60)</w:t>
            </w:r>
          </w:p>
          <w:p w14:paraId="1B062AA1" w14:textId="77777777" w:rsidR="00481D43" w:rsidRPr="009D44C5" w:rsidRDefault="00481D43" w:rsidP="00DF68AE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t xml:space="preserve">Specyfika prowadzenia psychoterapii pacjentów w wieku rozwojowym w ujęciu systemowym. </w:t>
            </w:r>
          </w:p>
          <w:p w14:paraId="569E112B" w14:textId="77777777" w:rsidR="00481D43" w:rsidRPr="009D44C5" w:rsidRDefault="00481D43" w:rsidP="00DF68AE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t xml:space="preserve">Podstawy psychoterapii indywidualnej w leczeniu zaburzeń i problemów psychicznych dzieci, młodzieży oraz osób dorosłych. </w:t>
            </w:r>
          </w:p>
          <w:p w14:paraId="09057EAF" w14:textId="77777777" w:rsidR="00481D43" w:rsidRPr="009D44C5" w:rsidRDefault="00481D43" w:rsidP="00DF68AE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t xml:space="preserve">Podstawy psychoterapii grupowej w leczeniu zaburzeń i problemów psychicznych dzieci, młodzieży oraz osób dorosłych. </w:t>
            </w:r>
          </w:p>
        </w:tc>
      </w:tr>
      <w:tr w:rsidR="00481D43" w:rsidRPr="00797FDF" w14:paraId="6F06FE7E" w14:textId="77777777" w:rsidTr="00481D43">
        <w:tc>
          <w:tcPr>
            <w:tcW w:w="10065" w:type="dxa"/>
          </w:tcPr>
          <w:p w14:paraId="412581C1" w14:textId="77777777" w:rsidR="00481D43" w:rsidRDefault="00481D43" w:rsidP="00DF68AE">
            <w:pPr>
              <w:tabs>
                <w:tab w:val="left" w:pos="0"/>
              </w:tabs>
              <w:suppressAutoHyphens/>
              <w:spacing w:after="283"/>
              <w:rPr>
                <w:b/>
                <w:bCs/>
              </w:rPr>
            </w:pPr>
            <w:r w:rsidRPr="00D54E1A">
              <w:rPr>
                <w:b/>
                <w:bCs/>
                <w:sz w:val="22"/>
                <w:szCs w:val="22"/>
              </w:rPr>
              <w:t xml:space="preserve">Moduł V </w:t>
            </w:r>
            <w:r w:rsidRPr="00D54E1A">
              <w:rPr>
                <w:b/>
                <w:bCs/>
              </w:rPr>
              <w:t>. Praca z rodziną i bliskimi Pacjenta w ujęciu systemowym( 30h)</w:t>
            </w:r>
          </w:p>
          <w:p w14:paraId="56EF90BE" w14:textId="77777777" w:rsidR="00481D43" w:rsidRPr="009D44C5" w:rsidRDefault="00481D43" w:rsidP="00DF68A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283"/>
              <w:rPr>
                <w:b/>
                <w:bCs/>
              </w:rPr>
            </w:pPr>
            <w:r>
              <w:t>Podstawy interwencji rodzinnych lub terapii rodzin w leczeniu zaburzeń i problemów psychicznych dzieci, młodzieży oraz osób dorosłych.</w:t>
            </w:r>
          </w:p>
          <w:p w14:paraId="3F90BBBD" w14:textId="77777777" w:rsidR="00481D43" w:rsidRPr="00D54E1A" w:rsidRDefault="00481D43" w:rsidP="00DF68AE">
            <w:pPr>
              <w:tabs>
                <w:tab w:val="left" w:pos="0"/>
              </w:tabs>
              <w:suppressAutoHyphens/>
              <w:spacing w:after="283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481D43" w:rsidRPr="00797FDF" w14:paraId="5B1B9FA3" w14:textId="77777777" w:rsidTr="00481D43">
        <w:tc>
          <w:tcPr>
            <w:tcW w:w="10065" w:type="dxa"/>
          </w:tcPr>
          <w:p w14:paraId="7A5E17CA" w14:textId="77777777" w:rsidR="00481D43" w:rsidRPr="005546F3" w:rsidRDefault="00481D43" w:rsidP="00DF68AE">
            <w:pPr>
              <w:suppressAutoHyphens/>
              <w:rPr>
                <w:b/>
                <w:bCs/>
                <w:sz w:val="22"/>
                <w:szCs w:val="22"/>
              </w:rPr>
            </w:pPr>
            <w:r w:rsidRPr="005546F3">
              <w:rPr>
                <w:b/>
                <w:bCs/>
                <w:sz w:val="22"/>
                <w:szCs w:val="22"/>
              </w:rPr>
              <w:t>Moduł VII Kurs diagnozy ICF 30h</w:t>
            </w:r>
          </w:p>
          <w:p w14:paraId="06C38F81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Diagnoza funkcjonalna i jej wielowymiarowość – dziecko/uczeń/rodzic/środowisko.</w:t>
            </w:r>
          </w:p>
          <w:p w14:paraId="176509BA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Współpraca międzyinstytucjonalna w procesie diagnostycznym.</w:t>
            </w:r>
          </w:p>
          <w:p w14:paraId="1A32F173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Od modelu medycznego do modelu </w:t>
            </w:r>
            <w:proofErr w:type="spellStart"/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biopsychospołecznego</w:t>
            </w:r>
            <w:proofErr w:type="spellEnd"/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  <w:p w14:paraId="2F658A31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Klasyfikacja ICF.</w:t>
            </w:r>
          </w:p>
          <w:p w14:paraId="6573433B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Etapy oceny funkcjonalnej.</w:t>
            </w:r>
          </w:p>
          <w:p w14:paraId="11E70893" w14:textId="77777777" w:rsidR="00481D43" w:rsidRPr="00897143" w:rsidRDefault="00481D43" w:rsidP="00DF68AE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Narzędzia wspierające ocenę funkcjonalną.</w:t>
            </w:r>
          </w:p>
        </w:tc>
      </w:tr>
      <w:tr w:rsidR="00481D43" w:rsidRPr="00797FDF" w14:paraId="7403E8EA" w14:textId="77777777" w:rsidTr="00481D43">
        <w:tc>
          <w:tcPr>
            <w:tcW w:w="10065" w:type="dxa"/>
          </w:tcPr>
          <w:p w14:paraId="4DC820C2" w14:textId="77777777" w:rsidR="00481D43" w:rsidRPr="00897143" w:rsidRDefault="00481D43" w:rsidP="00DF68AE">
            <w:pPr>
              <w:suppressAutoHyphens/>
              <w:rPr>
                <w:b/>
                <w:bCs/>
                <w:sz w:val="22"/>
                <w:szCs w:val="22"/>
              </w:rPr>
            </w:pPr>
            <w:r w:rsidRPr="00897143">
              <w:rPr>
                <w:b/>
                <w:bCs/>
                <w:sz w:val="22"/>
                <w:szCs w:val="22"/>
              </w:rPr>
              <w:t>Moduł VIII Komunikacja z młodym pacjentem i jego rodziną (20)</w:t>
            </w:r>
          </w:p>
          <w:p w14:paraId="119D8593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Współczesny pacjent i jego oczekiwania. Typologia pacjentów.</w:t>
            </w:r>
          </w:p>
          <w:p w14:paraId="631A1CBC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Psychologia rozmów z trudnymi pacjentami. Techniki asertywne.</w:t>
            </w:r>
          </w:p>
          <w:p w14:paraId="7BCD4B4F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Psychologiczne problemy dzieci i młodzieży. Komunikacja z osobami nieletnimi.</w:t>
            </w:r>
          </w:p>
          <w:p w14:paraId="0DCF0EF0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 xml:space="preserve">Pacjent agresywny – jak sobie z nim radzić. Diagnoza problemów i postępowanie w przypadku agresywnych </w:t>
            </w:r>
            <w:proofErr w:type="spellStart"/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zachowań</w:t>
            </w:r>
            <w:proofErr w:type="spellEnd"/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 xml:space="preserve"> pacjenta.</w:t>
            </w:r>
          </w:p>
          <w:p w14:paraId="5B7CBCC4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Sposoby łagodzenia agresji, negocjacje.</w:t>
            </w:r>
          </w:p>
          <w:p w14:paraId="5B629227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Emocje i stres – jak sobie z nimi radzić.</w:t>
            </w:r>
          </w:p>
          <w:p w14:paraId="6F8DD209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Znaczenie jakości obsługi pacjenta – korzyści dla placówki i dla pracownika.</w:t>
            </w:r>
          </w:p>
          <w:p w14:paraId="2EBF8461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sz w:val="22"/>
                <w:szCs w:val="22"/>
              </w:rPr>
              <w:t xml:space="preserve">Organizacja opieki psychiatrycznej w Polsce. </w:t>
            </w:r>
          </w:p>
          <w:p w14:paraId="0446404E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sz w:val="22"/>
                <w:szCs w:val="22"/>
              </w:rPr>
              <w:t xml:space="preserve">Organizacja lecznictwa psychiatrycznego dla dzieci i młodzieży. </w:t>
            </w:r>
          </w:p>
          <w:p w14:paraId="161D9341" w14:textId="77777777" w:rsidR="00481D43" w:rsidRPr="00034508" w:rsidRDefault="00481D43" w:rsidP="00DF68AE">
            <w:pPr>
              <w:numPr>
                <w:ilvl w:val="0"/>
                <w:numId w:val="4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34508">
              <w:rPr>
                <w:sz w:val="22"/>
                <w:szCs w:val="22"/>
              </w:rPr>
              <w:t>Podstawy prawne związane z procedurami prawnymi dotyczącymi dziecka i jego rodziny. 11)</w:t>
            </w:r>
          </w:p>
          <w:p w14:paraId="07A6F0D2" w14:textId="77777777" w:rsidR="00481D43" w:rsidRPr="00897143" w:rsidRDefault="00481D43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481D43" w:rsidRPr="00797FDF" w14:paraId="0AC975E9" w14:textId="77777777" w:rsidTr="00481D43">
        <w:tc>
          <w:tcPr>
            <w:tcW w:w="10065" w:type="dxa"/>
          </w:tcPr>
          <w:p w14:paraId="550B4C2C" w14:textId="77777777" w:rsidR="00481D43" w:rsidRDefault="00481D43" w:rsidP="00DF68AE">
            <w:pPr>
              <w:tabs>
                <w:tab w:val="left" w:pos="0"/>
              </w:tabs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 xml:space="preserve">Moduł IX Szkolenie z interwencji kryzysowej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7</w:t>
            </w:r>
            <w:r w:rsidRPr="0089714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0h</w:t>
            </w:r>
          </w:p>
          <w:p w14:paraId="2D7614DE" w14:textId="77777777" w:rsidR="00481D43" w:rsidRDefault="00481D43" w:rsidP="00DF68AE">
            <w:pPr>
              <w:tabs>
                <w:tab w:val="left" w:pos="0"/>
              </w:tabs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260B5D2B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Podstawy umiejętności prowadzenia interwencji kryzysowej wobec dzieci i młodzieży.</w:t>
            </w:r>
          </w:p>
          <w:p w14:paraId="1D021044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Kryzysy rozwojowe a kryzysy sytuacyjne, traumatyczne.</w:t>
            </w:r>
          </w:p>
          <w:p w14:paraId="7336CBC7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Zasady pracy interdyscyplinarnej w interwencji kryzysowej wobec dzieci i młodzieży.</w:t>
            </w:r>
          </w:p>
          <w:p w14:paraId="183491A6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Interwencja kryzysowa wobec dzieci i młodzieży w kryzysie </w:t>
            </w:r>
            <w:proofErr w:type="spellStart"/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suicydalnym</w:t>
            </w:r>
            <w:proofErr w:type="spellEnd"/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  <w:p w14:paraId="33C446A0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Zaburzenia depresyjne dzieci i młodzieży i zagrożenie samobójstwem. Samouszkodzenia u dzieci i młodzieży.</w:t>
            </w:r>
          </w:p>
          <w:p w14:paraId="0BD6403F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przemocy seksualnej.</w:t>
            </w:r>
          </w:p>
          <w:p w14:paraId="356B5561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Zaburzenia stresu pourazowego u dzieci i młodzieży ASD/ PTSD.</w:t>
            </w:r>
          </w:p>
          <w:p w14:paraId="71B72F52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zaniedbania, przemocy psychicznej i fizycznej.</w:t>
            </w:r>
          </w:p>
          <w:p w14:paraId="1B9F48C3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 sytuacji uzależnień u dzieci i młodzieży.</w:t>
            </w:r>
          </w:p>
          <w:p w14:paraId="48B730F0" w14:textId="77777777" w:rsidR="00481D43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wydarzeń traumatycznych, straty, żałoby.</w:t>
            </w:r>
          </w:p>
          <w:p w14:paraId="36DD47B2" w14:textId="77777777" w:rsidR="00481D43" w:rsidRPr="008176A0" w:rsidRDefault="00481D43" w:rsidP="00DF68AE">
            <w:pPr>
              <w:pStyle w:val="Akapitzlist"/>
              <w:numPr>
                <w:ilvl w:val="1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Interwencja kryzysowa wobec dzieci i młodzieży w sytuacji agresji szkolnej, </w:t>
            </w:r>
            <w:proofErr w:type="spellStart"/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mobbingu</w:t>
            </w:r>
            <w:proofErr w:type="spellEnd"/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</w:tr>
      <w:tr w:rsidR="00481D43" w:rsidRPr="00797FDF" w14:paraId="2DE25524" w14:textId="77777777" w:rsidTr="00481D43">
        <w:tc>
          <w:tcPr>
            <w:tcW w:w="10065" w:type="dxa"/>
          </w:tcPr>
          <w:p w14:paraId="6DBD3346" w14:textId="77777777" w:rsidR="00481D43" w:rsidRPr="005A00E5" w:rsidRDefault="00481D43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X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Dialog motywujący w pracy z dziećmi i młodzieżą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(4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0h)</w:t>
            </w:r>
          </w:p>
          <w:p w14:paraId="0E64F726" w14:textId="77777777" w:rsidR="00481D43" w:rsidRPr="005A00E5" w:rsidRDefault="00481D43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D0027"/>
                <w:kern w:val="0"/>
                <w:sz w:val="22"/>
                <w:szCs w:val="22"/>
                <w:lang w:eastAsia="zh-CN" w:bidi="pl-PL"/>
                <w14:ligatures w14:val="none"/>
              </w:rPr>
              <w:t>Wprowadzenie do Dialogu Motywującego. Kluczowe założenia i zasady pracy. Duch Dialogu Motywującego</w:t>
            </w: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</w:t>
            </w:r>
          </w:p>
          <w:p w14:paraId="526A23E0" w14:textId="77777777" w:rsidR="00481D43" w:rsidRPr="005A00E5" w:rsidRDefault="00481D43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Metody pracy Dialogu Motywującego. </w:t>
            </w:r>
          </w:p>
          <w:p w14:paraId="4CEF359F" w14:textId="77777777" w:rsidR="00481D43" w:rsidRPr="005A00E5" w:rsidRDefault="00481D43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Praca z oporem w duchu Dialogu Motywującego </w:t>
            </w:r>
          </w:p>
          <w:p w14:paraId="0FE8E829" w14:textId="77777777" w:rsidR="00481D43" w:rsidRPr="005A00E5" w:rsidRDefault="00481D43" w:rsidP="00DF68AE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Zastosowanie Dialogu Motywującego w pracy z dziećmi i młodzieżą </w:t>
            </w:r>
          </w:p>
          <w:p w14:paraId="751F26BC" w14:textId="77777777" w:rsidR="00481D43" w:rsidRPr="00797FDF" w:rsidRDefault="00481D43" w:rsidP="00DF68AE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481D43" w:rsidRPr="00481D43" w14:paraId="4C3FCA9A" w14:textId="77777777" w:rsidTr="00481D43">
        <w:tc>
          <w:tcPr>
            <w:tcW w:w="10065" w:type="dxa"/>
          </w:tcPr>
          <w:p w14:paraId="5EE91C65" w14:textId="77777777" w:rsidR="00481D43" w:rsidRPr="000B46FC" w:rsidRDefault="00481D43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0B46F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TRENING INTERPERSONALNY (40H)</w:t>
            </w:r>
          </w:p>
          <w:p w14:paraId="2FF3321F" w14:textId="77777777" w:rsidR="00481D43" w:rsidRPr="000B46FC" w:rsidRDefault="00481D43" w:rsidP="00DF68AE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0B46F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TRENING INTRAPSYCHICZNY (40H)</w:t>
            </w:r>
          </w:p>
        </w:tc>
      </w:tr>
    </w:tbl>
    <w:p w14:paraId="0F30087D" w14:textId="77777777" w:rsidR="004139BC" w:rsidRPr="00481D43" w:rsidRDefault="004139BC">
      <w:pPr>
        <w:rPr>
          <w:lang w:val="en-US"/>
        </w:rPr>
      </w:pPr>
    </w:p>
    <w:sectPr w:rsidR="004139BC" w:rsidRPr="0048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A033" w14:textId="77777777" w:rsidR="004139BC" w:rsidRDefault="004139BC" w:rsidP="004139BC">
      <w:pPr>
        <w:spacing w:after="0" w:line="240" w:lineRule="auto"/>
      </w:pPr>
      <w:r>
        <w:separator/>
      </w:r>
    </w:p>
  </w:endnote>
  <w:endnote w:type="continuationSeparator" w:id="0">
    <w:p w14:paraId="1F46DAFA" w14:textId="77777777" w:rsidR="004139BC" w:rsidRDefault="004139BC" w:rsidP="0041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D33E" w14:textId="77777777" w:rsidR="004139BC" w:rsidRDefault="00413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EC48" w14:textId="77777777" w:rsidR="004139BC" w:rsidRDefault="00413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4B81" w14:textId="77777777" w:rsidR="004139BC" w:rsidRDefault="00413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80BA" w14:textId="77777777" w:rsidR="004139BC" w:rsidRDefault="004139BC" w:rsidP="004139BC">
      <w:pPr>
        <w:spacing w:after="0" w:line="240" w:lineRule="auto"/>
      </w:pPr>
      <w:r>
        <w:separator/>
      </w:r>
    </w:p>
  </w:footnote>
  <w:footnote w:type="continuationSeparator" w:id="0">
    <w:p w14:paraId="62702041" w14:textId="77777777" w:rsidR="004139BC" w:rsidRDefault="004139BC" w:rsidP="0041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90C8" w14:textId="77777777" w:rsidR="004139BC" w:rsidRDefault="00413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1983" w14:textId="77777777" w:rsidR="004139BC" w:rsidRDefault="004139BC" w:rsidP="004139BC">
    <w:pPr>
      <w:suppressAutoHyphens/>
      <w:spacing w:after="0" w:line="240" w:lineRule="auto"/>
      <w:jc w:val="cent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  <w:sz w:val="36"/>
        <w:szCs w:val="36"/>
      </w:rPr>
      <w:t>S</w:t>
    </w:r>
    <w:r w:rsidRPr="004139BC">
      <w:rPr>
        <w:rFonts w:asciiTheme="majorHAnsi" w:hAnsiTheme="majorHAnsi"/>
        <w:b/>
        <w:bCs/>
        <w:sz w:val="36"/>
        <w:szCs w:val="36"/>
      </w:rPr>
      <w:t>zkolenia dla psychoterapeutów dzieci i młodzieży</w:t>
    </w:r>
    <w:r w:rsidRPr="004649BF">
      <w:rPr>
        <w:rFonts w:asciiTheme="majorHAnsi" w:hAnsiTheme="majorHAnsi"/>
        <w:b/>
        <w:bCs/>
      </w:rPr>
      <w:t xml:space="preserve"> </w:t>
    </w:r>
  </w:p>
  <w:p w14:paraId="57E49568" w14:textId="7D0A3109" w:rsidR="004139BC" w:rsidRPr="004649BF" w:rsidRDefault="004139BC" w:rsidP="004139BC">
    <w:pPr>
      <w:suppressAutoHyphens/>
      <w:spacing w:after="0" w:line="240" w:lineRule="auto"/>
      <w:jc w:val="center"/>
      <w:rPr>
        <w:rFonts w:asciiTheme="majorHAnsi" w:eastAsia="Times New Roman" w:hAnsiTheme="majorHAnsi" w:cs="Calibri Light"/>
        <w:b/>
        <w:bCs/>
        <w:kern w:val="0"/>
        <w:lang w:eastAsia="zh-CN"/>
        <w14:ligatures w14:val="none"/>
      </w:rPr>
    </w:pPr>
    <w:r w:rsidRPr="004649BF">
      <w:rPr>
        <w:rFonts w:asciiTheme="majorHAnsi" w:hAnsiTheme="majorHAnsi"/>
        <w:b/>
        <w:bCs/>
      </w:rPr>
      <w:t xml:space="preserve">w ramach projektu </w:t>
    </w:r>
    <w:bookmarkStart w:id="0" w:name="_Hlk66859899"/>
    <w:r w:rsidRPr="004649BF">
      <w:rPr>
        <w:rFonts w:asciiTheme="majorHAnsi" w:eastAsia="Times New Roman" w:hAnsiTheme="majorHAnsi" w:cs="Calibri Light"/>
        <w:b/>
        <w:bCs/>
        <w:i/>
        <w:iCs/>
        <w:kern w:val="0"/>
        <w:lang w:eastAsia="zh-CN"/>
        <w14:ligatures w14:val="none"/>
      </w:rPr>
      <w:t>Funkcjonowanie i rozwój Regionalnego Centrum Zdrowia Psychicznego Dzieci i Młodzieży przy Szpitalu Neuropsychiatrycznym im. Prof. M. Kaczyńskiego w Lublinie</w:t>
    </w:r>
    <w:bookmarkEnd w:id="0"/>
  </w:p>
  <w:p w14:paraId="1B31C512" w14:textId="77777777" w:rsidR="004139BC" w:rsidRPr="004139BC" w:rsidRDefault="004139BC" w:rsidP="00413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BC0C" w14:textId="77777777" w:rsidR="004139BC" w:rsidRDefault="00413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075D3430"/>
    <w:multiLevelType w:val="hybridMultilevel"/>
    <w:tmpl w:val="BE9CE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53B"/>
    <w:multiLevelType w:val="multilevel"/>
    <w:tmpl w:val="7B4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C1167"/>
    <w:multiLevelType w:val="hybridMultilevel"/>
    <w:tmpl w:val="028AD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B63"/>
    <w:multiLevelType w:val="hybridMultilevel"/>
    <w:tmpl w:val="DED6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3572B"/>
    <w:multiLevelType w:val="hybridMultilevel"/>
    <w:tmpl w:val="F1FA8D40"/>
    <w:lvl w:ilvl="0" w:tplc="FF4A49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2973">
    <w:abstractNumId w:val="0"/>
  </w:num>
  <w:num w:numId="2" w16cid:durableId="1676377575">
    <w:abstractNumId w:val="1"/>
  </w:num>
  <w:num w:numId="3" w16cid:durableId="845050522">
    <w:abstractNumId w:val="2"/>
  </w:num>
  <w:num w:numId="4" w16cid:durableId="1766069648">
    <w:abstractNumId w:val="3"/>
  </w:num>
  <w:num w:numId="5" w16cid:durableId="885602624">
    <w:abstractNumId w:val="6"/>
  </w:num>
  <w:num w:numId="6" w16cid:durableId="800154246">
    <w:abstractNumId w:val="4"/>
  </w:num>
  <w:num w:numId="7" w16cid:durableId="1289891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C"/>
    <w:rsid w:val="00071631"/>
    <w:rsid w:val="004139BC"/>
    <w:rsid w:val="004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897F"/>
  <w15:chartTrackingRefBased/>
  <w15:docId w15:val="{44F60846-2C79-45E8-BD5C-4A14104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9BC"/>
  </w:style>
  <w:style w:type="paragraph" w:styleId="Nagwek1">
    <w:name w:val="heading 1"/>
    <w:basedOn w:val="Normalny"/>
    <w:next w:val="Normalny"/>
    <w:link w:val="Nagwek1Znak"/>
    <w:uiPriority w:val="9"/>
    <w:qFormat/>
    <w:rsid w:val="00413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9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9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9BC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13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9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9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9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1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139BC"/>
  </w:style>
  <w:style w:type="paragraph" w:styleId="Nagwek">
    <w:name w:val="header"/>
    <w:basedOn w:val="Normalny"/>
    <w:link w:val="NagwekZnak"/>
    <w:uiPriority w:val="99"/>
    <w:unhideWhenUsed/>
    <w:rsid w:val="0041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9BC"/>
  </w:style>
  <w:style w:type="paragraph" w:styleId="Stopka">
    <w:name w:val="footer"/>
    <w:basedOn w:val="Normalny"/>
    <w:link w:val="StopkaZnak"/>
    <w:uiPriority w:val="99"/>
    <w:unhideWhenUsed/>
    <w:rsid w:val="0041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2</cp:revision>
  <dcterms:created xsi:type="dcterms:W3CDTF">2024-07-26T04:20:00Z</dcterms:created>
  <dcterms:modified xsi:type="dcterms:W3CDTF">2024-07-26T04:28:00Z</dcterms:modified>
</cp:coreProperties>
</file>