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E8743E" w:rsidRPr="00797FDF" w14:paraId="72B1AC5E" w14:textId="77777777" w:rsidTr="00E8743E">
        <w:tc>
          <w:tcPr>
            <w:tcW w:w="10065" w:type="dxa"/>
          </w:tcPr>
          <w:p w14:paraId="5E80B889" w14:textId="77777777" w:rsidR="00E8743E" w:rsidRPr="00797FDF" w:rsidRDefault="00E8743E" w:rsidP="00DF68AE">
            <w:pPr>
              <w:jc w:val="center"/>
              <w:rPr>
                <w:b/>
                <w:bCs/>
                <w:sz w:val="22"/>
                <w:szCs w:val="22"/>
              </w:rPr>
            </w:pPr>
            <w:r w:rsidRPr="00797FDF">
              <w:rPr>
                <w:b/>
                <w:bCs/>
                <w:sz w:val="22"/>
                <w:szCs w:val="22"/>
              </w:rPr>
              <w:t>Moduł</w:t>
            </w:r>
          </w:p>
        </w:tc>
      </w:tr>
      <w:tr w:rsidR="00E8743E" w:rsidRPr="00797FDF" w14:paraId="292F347A" w14:textId="77777777" w:rsidTr="00E8743E">
        <w:tc>
          <w:tcPr>
            <w:tcW w:w="10065" w:type="dxa"/>
          </w:tcPr>
          <w:p w14:paraId="252E9281" w14:textId="77777777" w:rsidR="00E8743E" w:rsidRPr="00F95DD6" w:rsidRDefault="00E8743E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Moduł I . Rola, zadania i wyzwania terapeuty środowiskowego dzieci i młodzieży (16h wykład, 16 h warsztaty) </w:t>
            </w:r>
          </w:p>
          <w:p w14:paraId="06B71830" w14:textId="77777777" w:rsidR="00E8743E" w:rsidRPr="00F95DD6" w:rsidRDefault="00E8743E" w:rsidP="00DF68AE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Terapeuta środowiskowy – kto to jest i jakie ma zadania w ochronie zdrowia </w:t>
            </w:r>
          </w:p>
          <w:p w14:paraId="39279B31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Medyczny kontekst pomagania : tradycje, język, modele </w:t>
            </w:r>
          </w:p>
          <w:p w14:paraId="3F7971A8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Współpraca z lekarzem : zadania, rozwiązania </w:t>
            </w:r>
          </w:p>
          <w:p w14:paraId="3109FF1E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Psychologiczny kontekst pomagania : tradycje, język, modele </w:t>
            </w:r>
          </w:p>
          <w:p w14:paraId="678CE781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Współpraca z psychologiem : zadania, rozwiązania </w:t>
            </w:r>
          </w:p>
          <w:p w14:paraId="239A3641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Społeczny kontekst pomagania :  tradycje, język, modele </w:t>
            </w:r>
          </w:p>
          <w:p w14:paraId="6E200EC9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Kontakt z pracownikiem socjalnym: zadania, rozwiązania</w:t>
            </w:r>
          </w:p>
          <w:p w14:paraId="5EE4378B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Model opieki psychiatrycznej </w:t>
            </w:r>
          </w:p>
          <w:p w14:paraId="7433B984" w14:textId="77777777" w:rsidR="00E8743E" w:rsidRPr="00F95DD6" w:rsidRDefault="00E8743E" w:rsidP="00DF68AE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Model środowiskowy w praktyce (podczas warsztatów analiza przypadków związanych z dobrymi praktykami z pracą ośrodków opieki środowiskowej dla dzieci i młodzieży)  </w:t>
            </w:r>
          </w:p>
          <w:p w14:paraId="7F60FDFA" w14:textId="77777777" w:rsidR="00E8743E" w:rsidRPr="00797FDF" w:rsidRDefault="00E8743E" w:rsidP="00DF68AE">
            <w:pPr>
              <w:rPr>
                <w:sz w:val="22"/>
                <w:szCs w:val="22"/>
              </w:rPr>
            </w:pPr>
          </w:p>
        </w:tc>
      </w:tr>
      <w:tr w:rsidR="00E8743E" w:rsidRPr="00797FDF" w14:paraId="17F7BEA1" w14:textId="77777777" w:rsidTr="00E8743E">
        <w:tc>
          <w:tcPr>
            <w:tcW w:w="10065" w:type="dxa"/>
          </w:tcPr>
          <w:p w14:paraId="12FCEE43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Modu</w:t>
            </w:r>
            <w:r w:rsidRPr="00797FDF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ł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II </w:t>
            </w:r>
            <w:r w:rsidRPr="00F95D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Psychopatologia wieku dziecięcego i wczesnoszkolnego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(16h wykład, 16 h warsztaty) </w:t>
            </w:r>
          </w:p>
          <w:p w14:paraId="0C4D2DD3" w14:textId="77777777" w:rsidR="00E8743E" w:rsidRPr="00F95DD6" w:rsidRDefault="00E8743E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Klasyfikacja zaburzeń psychicznych w wieku rozwojowym </w:t>
            </w:r>
          </w:p>
          <w:p w14:paraId="07E3B4F3" w14:textId="77777777" w:rsidR="00E8743E" w:rsidRPr="00F95DD6" w:rsidRDefault="00E8743E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Diagnostyka zaburzeń rozwojowych. Zaburzenia rozpoczynające się w niemowlęctwie i wczesnym dzieciństwie </w:t>
            </w:r>
          </w:p>
          <w:p w14:paraId="45A171B8" w14:textId="77777777" w:rsidR="00E8743E" w:rsidRPr="00F95DD6" w:rsidRDefault="00E8743E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Zaburzenia wieku 7-10 lat </w:t>
            </w:r>
          </w:p>
          <w:p w14:paraId="5D947676" w14:textId="77777777" w:rsidR="00E8743E" w:rsidRPr="00F95DD6" w:rsidRDefault="00E8743E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Trudności emocjonalne, zaburzenia zachowania, deficyty rozwojowe dziecka w funkcjonowaniu szkolnym </w:t>
            </w:r>
          </w:p>
          <w:p w14:paraId="239165CF" w14:textId="77777777" w:rsidR="00E8743E" w:rsidRPr="00F95DD6" w:rsidRDefault="00E8743E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Terapia dzieci : zasady ogólne, uwzględnienie kontekstu rozwojowego, rodzinnego, szkolnego </w:t>
            </w:r>
          </w:p>
          <w:p w14:paraId="1BFB80FB" w14:textId="77777777" w:rsidR="00E8743E" w:rsidRPr="00797FDF" w:rsidRDefault="00E8743E" w:rsidP="00DF68AE">
            <w:pPr>
              <w:rPr>
                <w:sz w:val="22"/>
                <w:szCs w:val="22"/>
              </w:rPr>
            </w:pPr>
          </w:p>
        </w:tc>
      </w:tr>
      <w:tr w:rsidR="00E8743E" w:rsidRPr="00797FDF" w14:paraId="1ACB3917" w14:textId="77777777" w:rsidTr="00E8743E">
        <w:tc>
          <w:tcPr>
            <w:tcW w:w="10065" w:type="dxa"/>
          </w:tcPr>
          <w:p w14:paraId="1658DB64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Moduł III  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Psychopatologia wieku dorastania cz1. 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69E547F1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Stres – reakcja na stres, pojęcie </w:t>
            </w:r>
            <w:proofErr w:type="spellStart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eustresu</w:t>
            </w:r>
            <w:proofErr w:type="spellEnd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i </w:t>
            </w:r>
            <w:proofErr w:type="spellStart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dystresu</w:t>
            </w:r>
            <w:proofErr w:type="spellEnd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, następstwa. Norma vs. patologia zjawiska </w:t>
            </w:r>
          </w:p>
          <w:p w14:paraId="1C05E6BC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Pojęcie kryzysu rozwojowego , znaczenie w rozwoju dzieci i młodzieży </w:t>
            </w:r>
          </w:p>
          <w:p w14:paraId="29716947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Komunikacja – praca w sytuacjach kryzysowych, obciążających. Asertywność. </w:t>
            </w:r>
          </w:p>
          <w:p w14:paraId="7EE09E5C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Interwencja kryzysowa (definicje, metoda) </w:t>
            </w:r>
          </w:p>
          <w:p w14:paraId="0A2819E6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Praktyka w interwencji kryzysowej </w:t>
            </w:r>
          </w:p>
          <w:p w14:paraId="3F764460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Komunikacja z pacjentem oparta na słuchaniu i rozumieniu </w:t>
            </w:r>
          </w:p>
          <w:p w14:paraId="3729FD14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Podstawowe zespoły zaburzeń psychicznych wśród dzieci i młodzieży </w:t>
            </w:r>
          </w:p>
          <w:p w14:paraId="60DEB8D0" w14:textId="77777777" w:rsidR="00E8743E" w:rsidRPr="00F95DD6" w:rsidRDefault="00E8743E" w:rsidP="00DF68AE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Ocena stanu psychicznego pacjenta młodego </w:t>
            </w:r>
          </w:p>
          <w:p w14:paraId="5B64E784" w14:textId="77777777" w:rsidR="00E8743E" w:rsidRPr="00797FDF" w:rsidRDefault="00E8743E" w:rsidP="00DF68AE">
            <w:pPr>
              <w:suppressAutoHyphens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</w:p>
        </w:tc>
      </w:tr>
      <w:tr w:rsidR="00E8743E" w:rsidRPr="00797FDF" w14:paraId="18398692" w14:textId="77777777" w:rsidTr="00E8743E">
        <w:tc>
          <w:tcPr>
            <w:tcW w:w="10065" w:type="dxa"/>
          </w:tcPr>
          <w:p w14:paraId="0159E33A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IV Konceptualizacja problemów psychicznych dzieci, młodzieży oraz rodziny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706EE090" w14:textId="77777777" w:rsidR="00E8743E" w:rsidRPr="00F95DD6" w:rsidRDefault="00E8743E" w:rsidP="00DF68AE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Konceptualizacja w modelu </w:t>
            </w:r>
            <w:proofErr w:type="spellStart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bio</w:t>
            </w:r>
            <w:proofErr w:type="spellEnd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-</w:t>
            </w:r>
            <w:proofErr w:type="spellStart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psycho</w:t>
            </w:r>
            <w:proofErr w:type="spellEnd"/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-społecznym</w:t>
            </w:r>
          </w:p>
          <w:p w14:paraId="68A9F2DE" w14:textId="77777777" w:rsidR="00E8743E" w:rsidRPr="00F95DD6" w:rsidRDefault="00E8743E" w:rsidP="00DF68AE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Diagnoza funkcjonalna ICF</w:t>
            </w:r>
          </w:p>
          <w:p w14:paraId="5AD70C15" w14:textId="77777777" w:rsidR="00E8743E" w:rsidRPr="00F95DD6" w:rsidRDefault="00E8743E" w:rsidP="00DF68AE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Diagnoza funkcjonalna w praktyce środowiskowej </w:t>
            </w:r>
          </w:p>
          <w:p w14:paraId="06F76EE1" w14:textId="77777777" w:rsidR="00E8743E" w:rsidRPr="00797FDF" w:rsidRDefault="00E8743E" w:rsidP="00DF68AE">
            <w:pPr>
              <w:suppressAutoHyphens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8743E" w:rsidRPr="00797FDF" w14:paraId="3B66B1DC" w14:textId="77777777" w:rsidTr="00E8743E">
        <w:tc>
          <w:tcPr>
            <w:tcW w:w="10065" w:type="dxa"/>
          </w:tcPr>
          <w:p w14:paraId="71EC5C5D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V Formy wsparcia dla rodzin, dzieci i młodzieży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13A04703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Formy wspierania rodzin, dzieci i młodzieży z uwzględnieniem placówek medycznych, edukacyjnych i psychospołecznych </w:t>
            </w:r>
          </w:p>
          <w:p w14:paraId="06D0EEDF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Instytucje odpowiedzialne za udzielania pomocy i wsparcia dla dzieci i młodzieży a także ich rodzin </w:t>
            </w:r>
          </w:p>
          <w:p w14:paraId="18689E02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lastRenderedPageBreak/>
              <w:t xml:space="preserve">Działania i procedury uzyskiwania wsparcia (w instytucjach ochrony zdrowia psychicznego, edukacji i pomocy) </w:t>
            </w:r>
          </w:p>
          <w:p w14:paraId="008260A9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Instytucje społeczne, sądownictwo rodzinne, młodzieżowe ośrodki socjoterapeutyczne, młodzieżowe ośrodki wychowawcze (procedura przyjęcia i zasady działania) </w:t>
            </w:r>
          </w:p>
          <w:p w14:paraId="24C2F422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Piecza zastępcza – definicja, procedury </w:t>
            </w:r>
          </w:p>
          <w:p w14:paraId="661C93CB" w14:textId="77777777" w:rsidR="00E8743E" w:rsidRPr="00F95DD6" w:rsidRDefault="00E8743E" w:rsidP="00DF68AE">
            <w:pPr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Miejsca i zadania (obowiązki terapeuty środowiskowego) w ramach pomocy instytucjonalnej </w:t>
            </w:r>
          </w:p>
          <w:p w14:paraId="715EB71C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7C0D9151" w14:textId="77777777" w:rsidTr="00E8743E">
        <w:tc>
          <w:tcPr>
            <w:tcW w:w="10065" w:type="dxa"/>
          </w:tcPr>
          <w:p w14:paraId="6DC207C1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 xml:space="preserve">Moduł VI </w:t>
            </w:r>
            <w:r w:rsidRPr="00F95DD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Uzależnienia behawioralne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47B07837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Uzależnienia behawioralne : definicja, model, konceptualizacja</w:t>
            </w:r>
          </w:p>
          <w:p w14:paraId="5800AE9F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Ujawnianie uzależnienia: o co i jak pytać? Jak rozpoznać ? </w:t>
            </w:r>
          </w:p>
          <w:p w14:paraId="2D37DF08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Uzależnienie behawioralne i rodzina. Jak współpracować ? </w:t>
            </w:r>
          </w:p>
          <w:p w14:paraId="53740481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Interwencje rodzinne w sytuacji uzależnienia </w:t>
            </w:r>
          </w:p>
          <w:p w14:paraId="24DDB776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Pomoc osobom z uzależnieniem behawioralnym </w:t>
            </w:r>
          </w:p>
          <w:p w14:paraId="68D3E13D" w14:textId="77777777" w:rsidR="00E8743E" w:rsidRPr="00F95DD6" w:rsidRDefault="00E8743E" w:rsidP="00DF68A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283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Pacjenci z podwójną diagnozą – specyfika problemu, postępowanie. </w:t>
            </w:r>
          </w:p>
          <w:p w14:paraId="2374C3EB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570E3029" w14:textId="77777777" w:rsidTr="00E8743E">
        <w:tc>
          <w:tcPr>
            <w:tcW w:w="10065" w:type="dxa"/>
          </w:tcPr>
          <w:p w14:paraId="2F8CCF48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VII Aspekty problemów w rodzinie- formy wsparcia dla rodzin, dzieci i młodzieży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47F8C490" w14:textId="77777777" w:rsidR="00E8743E" w:rsidRPr="00F95DD6" w:rsidRDefault="00E8743E" w:rsidP="00DF68AE">
            <w:pPr>
              <w:numPr>
                <w:ilvl w:val="0"/>
                <w:numId w:val="7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Rozumienie roli rodziny oraz środowiska w rozwoju dzieci i młodzieży</w:t>
            </w:r>
          </w:p>
          <w:p w14:paraId="2D99A620" w14:textId="77777777" w:rsidR="00E8743E" w:rsidRPr="00F95DD6" w:rsidRDefault="00E8743E" w:rsidP="00DF68AE">
            <w:pPr>
              <w:numPr>
                <w:ilvl w:val="0"/>
                <w:numId w:val="7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Tworzenie planów interwencji na podstawie dostępnych zasobów rodzinnych i lokalnych</w:t>
            </w:r>
          </w:p>
          <w:p w14:paraId="7A86DCFB" w14:textId="77777777" w:rsidR="00E8743E" w:rsidRPr="00F95DD6" w:rsidRDefault="00E8743E" w:rsidP="00DF68AE">
            <w:pPr>
              <w:numPr>
                <w:ilvl w:val="0"/>
                <w:numId w:val="7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Cykle życia rodziny</w:t>
            </w:r>
          </w:p>
          <w:p w14:paraId="22D894B4" w14:textId="77777777" w:rsidR="00E8743E" w:rsidRPr="00F95DD6" w:rsidRDefault="00E8743E" w:rsidP="00DF68AE">
            <w:pPr>
              <w:numPr>
                <w:ilvl w:val="0"/>
                <w:numId w:val="7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 System rodzinny: strategie, przekazy rodzinne, przemoc w rodzinie, choroba psychiczna w rodzinie</w:t>
            </w:r>
          </w:p>
          <w:p w14:paraId="69CD7942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AB1B7D7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117EACED" w14:textId="77777777" w:rsidTr="00E8743E">
        <w:tc>
          <w:tcPr>
            <w:tcW w:w="10065" w:type="dxa"/>
          </w:tcPr>
          <w:p w14:paraId="565A8B48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 VIII Koordynacja międzysektorowa w terapii środowiskowej dzieci i młodzieży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6A9E22B1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4FA5E2D3" w14:textId="77777777" w:rsidR="00E8743E" w:rsidRPr="00F95DD6" w:rsidRDefault="00E8743E" w:rsidP="00DF68AE">
            <w:pPr>
              <w:numPr>
                <w:ilvl w:val="0"/>
                <w:numId w:val="8"/>
              </w:numPr>
              <w:suppressAutoHyphens/>
              <w:spacing w:after="20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Rola systemu opieki zdrowotnej,  pomocy społecznej oraz systemu oświaty</w:t>
            </w:r>
          </w:p>
          <w:p w14:paraId="29FBA287" w14:textId="77777777" w:rsidR="00E8743E" w:rsidRPr="00F95DD6" w:rsidRDefault="00E8743E" w:rsidP="00DF68AE">
            <w:pPr>
              <w:numPr>
                <w:ilvl w:val="0"/>
                <w:numId w:val="8"/>
              </w:numPr>
              <w:suppressAutoHyphens/>
              <w:spacing w:after="20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Rola koordynatora opieki</w:t>
            </w:r>
          </w:p>
          <w:p w14:paraId="3596E1C5" w14:textId="77777777" w:rsidR="00E8743E" w:rsidRPr="00F95DD6" w:rsidRDefault="00E8743E" w:rsidP="00DF68AE">
            <w:pPr>
              <w:numPr>
                <w:ilvl w:val="0"/>
                <w:numId w:val="8"/>
              </w:numPr>
              <w:suppressAutoHyphens/>
              <w:spacing w:after="20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Metody integracji działań pomocowych</w:t>
            </w:r>
          </w:p>
          <w:p w14:paraId="78601C67" w14:textId="77777777" w:rsidR="00E8743E" w:rsidRPr="00F95DD6" w:rsidRDefault="00E8743E" w:rsidP="00DF68AE">
            <w:pPr>
              <w:numPr>
                <w:ilvl w:val="0"/>
                <w:numId w:val="8"/>
              </w:numPr>
              <w:suppressAutoHyphens/>
              <w:spacing w:after="20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Sposoby współpracy z podmiotami udzielającymi wsparcia rodzinie, dzieciom i młodzieży</w:t>
            </w:r>
          </w:p>
          <w:p w14:paraId="1A2E9375" w14:textId="77777777" w:rsidR="00E8743E" w:rsidRPr="00F95DD6" w:rsidRDefault="00E8743E" w:rsidP="00DF68AE">
            <w:pPr>
              <w:numPr>
                <w:ilvl w:val="0"/>
                <w:numId w:val="8"/>
              </w:numPr>
              <w:suppressAutoHyphens/>
              <w:spacing w:after="20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Współpraca z  pomiędzy specjalistami udzielającymi wsparcia rodzinie, dzieciom i młodzieży w  chorobach i  zaburzeniach </w:t>
            </w:r>
            <w:proofErr w:type="spellStart"/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psychicznych,</w:t>
            </w:r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np</w:t>
            </w:r>
            <w:proofErr w:type="spellEnd"/>
            <w:r w:rsidRPr="00F95DD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. w ramach spotkań zespołu interdyscyplinarnego</w:t>
            </w:r>
          </w:p>
          <w:p w14:paraId="07DBA2AF" w14:textId="77777777" w:rsidR="00E8743E" w:rsidRPr="00F95DD6" w:rsidRDefault="00E8743E" w:rsidP="00DF68AE">
            <w:pPr>
              <w:suppressAutoHyphens/>
              <w:spacing w:after="200" w:line="360" w:lineRule="auto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FFCC960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628F6A88" w14:textId="77777777" w:rsidTr="00E8743E">
        <w:tc>
          <w:tcPr>
            <w:tcW w:w="10065" w:type="dxa"/>
          </w:tcPr>
          <w:p w14:paraId="43BCBCA4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IX Aspekty prawne w  terapii środowiskowej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3A9DB06D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Prawa i obowiązki rodziców w polskim systemie prawnym </w:t>
            </w:r>
          </w:p>
          <w:p w14:paraId="4E861F10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Ograniczenie lub pozbawienie praw rodzicielskich oraz opieka kuratorska </w:t>
            </w:r>
          </w:p>
          <w:p w14:paraId="0A627E02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Aspekty prawne i etyczne związane ze zgodą na leczenia pacjenta </w:t>
            </w:r>
          </w:p>
          <w:p w14:paraId="7F88DA5B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Aspekty prawne związane z sytuacją bezpośredniego zagrożenia zdrowia i życia pacjenta w wieku rozwojowym </w:t>
            </w:r>
          </w:p>
          <w:p w14:paraId="402DC7C6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Regulacje prawne dotyczące przemocy w rodzinie oraz przemocy rówieśniczej </w:t>
            </w:r>
          </w:p>
          <w:p w14:paraId="3755D45E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Obowiązki terapeuty środowiskowego wobec sytuacji podejrzenia przestępstwa lub łamania prawa przeciwko dzieciom i młodzieży </w:t>
            </w:r>
          </w:p>
          <w:p w14:paraId="72C0E107" w14:textId="77777777" w:rsidR="00E8743E" w:rsidRPr="00F95DD6" w:rsidRDefault="00E8743E" w:rsidP="00DF68AE">
            <w:pPr>
              <w:numPr>
                <w:ilvl w:val="0"/>
                <w:numId w:val="9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Aspekty prawne związane z wykroczeniami niepełnoletnich (sposoby rozwiązywania) </w:t>
            </w:r>
          </w:p>
          <w:p w14:paraId="6C85C34D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68CC1919" w14:textId="77777777" w:rsidTr="00E8743E">
        <w:tc>
          <w:tcPr>
            <w:tcW w:w="10065" w:type="dxa"/>
          </w:tcPr>
          <w:p w14:paraId="32F6DD04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 xml:space="preserve">Moduł X Modele terapeutyczne oraz ich zastosowanie w pracy terapeuty środowiskowego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DiM</w:t>
            </w:r>
            <w:proofErr w:type="spellEnd"/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(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4389B4B9" w14:textId="77777777" w:rsidR="00E8743E" w:rsidRPr="00F95DD6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14E707FC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Interwencje psychoterapeutyczne – model </w:t>
            </w:r>
            <w:proofErr w:type="spellStart"/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psychodynamiczny</w:t>
            </w:r>
            <w:proofErr w:type="spellEnd"/>
          </w:p>
          <w:p w14:paraId="7E29FBCD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Rozmowa terapeutyczna </w:t>
            </w:r>
          </w:p>
          <w:p w14:paraId="2BADDC96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Interwencje psychoterapeutyczne – model poznawczo-behawioralny </w:t>
            </w:r>
          </w:p>
          <w:p w14:paraId="47F43CBC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Praca metodą społeczności terapeutycznej </w:t>
            </w:r>
          </w:p>
          <w:p w14:paraId="7FCAD4C1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Inne modele interwencji psychoterapeutycznej </w:t>
            </w:r>
          </w:p>
          <w:p w14:paraId="2350F5DD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Terapia grupowa – założenia </w:t>
            </w:r>
          </w:p>
          <w:p w14:paraId="73F4DB99" w14:textId="77777777" w:rsidR="00E8743E" w:rsidRPr="00F95DD6" w:rsidRDefault="00E8743E" w:rsidP="00DF68AE">
            <w:pPr>
              <w:numPr>
                <w:ilvl w:val="0"/>
                <w:numId w:val="10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Psychozy – postępowanie </w:t>
            </w:r>
          </w:p>
          <w:p w14:paraId="13998541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51D34C0A" w14:textId="77777777" w:rsidTr="00E8743E">
        <w:tc>
          <w:tcPr>
            <w:tcW w:w="10065" w:type="dxa"/>
          </w:tcPr>
          <w:p w14:paraId="78EBBEED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XI Uzależnienia od alkoholu, substancji psychoaktywnych  (</w:t>
            </w:r>
            <w:r w:rsidRPr="005A00E5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16h wykład, 16 h warsztaty)</w:t>
            </w:r>
          </w:p>
          <w:p w14:paraId="07088B0E" w14:textId="77777777" w:rsidR="00E8743E" w:rsidRPr="005A00E5" w:rsidRDefault="00E8743E" w:rsidP="00DF68AE">
            <w:pPr>
              <w:numPr>
                <w:ilvl w:val="0"/>
                <w:numId w:val="1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Uzależnienia : definicje, rozumienie w aspekcie medycznym, psychologicznym, społecznym </w:t>
            </w:r>
          </w:p>
          <w:p w14:paraId="6DCB3C6C" w14:textId="77777777" w:rsidR="00E8743E" w:rsidRPr="005A00E5" w:rsidRDefault="00E8743E" w:rsidP="00DF68AE">
            <w:pPr>
              <w:numPr>
                <w:ilvl w:val="0"/>
                <w:numId w:val="1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Mechanizmy uzależnień </w:t>
            </w:r>
          </w:p>
          <w:p w14:paraId="28D9FF1C" w14:textId="77777777" w:rsidR="00E8743E" w:rsidRPr="005A00E5" w:rsidRDefault="00E8743E" w:rsidP="00DF68AE">
            <w:pPr>
              <w:numPr>
                <w:ilvl w:val="0"/>
                <w:numId w:val="1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Jak rozpoznać uzależnienie u dziecka – kryteria diagnostyczne </w:t>
            </w:r>
          </w:p>
          <w:p w14:paraId="4E1CA306" w14:textId="77777777" w:rsidR="00E8743E" w:rsidRPr="005A00E5" w:rsidRDefault="00E8743E" w:rsidP="00DF68AE">
            <w:pPr>
              <w:numPr>
                <w:ilvl w:val="0"/>
                <w:numId w:val="1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Współczesne środku odurzające (alkohol, narkotyki, leki przyjmowane bez recepty, odurzające substancje dostępne legalnie) </w:t>
            </w:r>
          </w:p>
          <w:p w14:paraId="3BA6EC74" w14:textId="77777777" w:rsidR="00E8743E" w:rsidRPr="005A00E5" w:rsidRDefault="00E8743E" w:rsidP="00DF68AE">
            <w:pPr>
              <w:numPr>
                <w:ilvl w:val="0"/>
                <w:numId w:val="1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Regulacje prawne związane z przyjmowaniem substancji psychoaktywnych w Polsce </w:t>
            </w:r>
          </w:p>
          <w:p w14:paraId="0DC9FEBA" w14:textId="77777777" w:rsidR="00E8743E" w:rsidRPr="005A00E5" w:rsidRDefault="00E8743E" w:rsidP="00DF68AE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ind w:left="707" w:hanging="283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Uzależnienie i rodzina. Współuzależnienie. </w:t>
            </w:r>
          </w:p>
          <w:p w14:paraId="193DDE38" w14:textId="77777777" w:rsidR="00E8743E" w:rsidRPr="00797FDF" w:rsidRDefault="00E8743E" w:rsidP="00DF68AE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ind w:left="707" w:hanging="283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Interwencje rodzinne w sytuacji uzależnienia </w:t>
            </w:r>
          </w:p>
          <w:p w14:paraId="7582CA1B" w14:textId="77777777" w:rsidR="00E8743E" w:rsidRPr="00797FDF" w:rsidRDefault="00E8743E" w:rsidP="00DF68AE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ind w:left="707" w:hanging="283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Pacjenci z podwójną diagnozą – specyfika problemu, postępowanie.</w:t>
            </w:r>
          </w:p>
        </w:tc>
      </w:tr>
      <w:tr w:rsidR="00E8743E" w:rsidRPr="00797FDF" w14:paraId="0D110A2F" w14:textId="77777777" w:rsidTr="00E8743E">
        <w:tc>
          <w:tcPr>
            <w:tcW w:w="10065" w:type="dxa"/>
          </w:tcPr>
          <w:p w14:paraId="32190AE7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Moduł XII  Metody prowadzenia terapii środowiskowej (16h wykład, 16 h warsztaty) </w:t>
            </w:r>
          </w:p>
          <w:p w14:paraId="05C40FA5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1.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Kontakt z pacjentem – słuchanie i rozumienie </w:t>
            </w:r>
          </w:p>
          <w:p w14:paraId="4D98EA9B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Specyfika kontaktu z osobami w kryzysie psychotycznym  - podstawy terapii </w:t>
            </w:r>
          </w:p>
          <w:p w14:paraId="7E6D28F3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Definiowanie i rozwiązywanie trudności </w:t>
            </w:r>
          </w:p>
          <w:p w14:paraId="3CC90104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Sieć oparcia społecznego – zasoby lokalne, organizacje samopomocowe </w:t>
            </w:r>
          </w:p>
          <w:p w14:paraId="0638D158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Informowanie, angażowanie, współpraca i wspieranie rodziny dziecka</w:t>
            </w:r>
          </w:p>
        </w:tc>
      </w:tr>
      <w:tr w:rsidR="00E8743E" w:rsidRPr="00797FDF" w14:paraId="76E85100" w14:textId="77777777" w:rsidTr="00E8743E">
        <w:tc>
          <w:tcPr>
            <w:tcW w:w="10065" w:type="dxa"/>
          </w:tcPr>
          <w:p w14:paraId="61C0626C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 XIII Psychopatologia wieku dorastania cz2.  (16h wykład, 16 h warsztaty)</w:t>
            </w:r>
          </w:p>
          <w:p w14:paraId="2C8CAFAA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1.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Czynniki ryzyka zaburzeń i kryzysów psychicznych występujące w wieku dziecięcym</w:t>
            </w:r>
          </w:p>
          <w:p w14:paraId="2C3BCBD9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 Zaburzenia więzi i zaburzenia </w:t>
            </w:r>
            <w:proofErr w:type="spellStart"/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neurorozwojowe</w:t>
            </w:r>
            <w:proofErr w:type="spellEnd"/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(FAS, ADHD, ASD)</w:t>
            </w:r>
          </w:p>
          <w:p w14:paraId="0D081B6D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Zaburzenia mowy i sprawności szkolnych</w:t>
            </w:r>
          </w:p>
          <w:p w14:paraId="0B10E50A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Upośledzenie umysłowe i podstawowe zespoły genetyczne</w:t>
            </w:r>
          </w:p>
          <w:p w14:paraId="222F6C34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Zaburzenia emocjonalne i funkcjonowania rozpoczynające się w dzieciństwie</w:t>
            </w:r>
          </w:p>
          <w:p w14:paraId="1056C9E1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6.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Autoagresja i zagrożenie samobójcze</w:t>
            </w:r>
          </w:p>
          <w:p w14:paraId="6C8B7F0C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7.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Zaburzenia odżywiania </w:t>
            </w:r>
          </w:p>
          <w:p w14:paraId="3E95E60C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8.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>Zaburzenia lękowe i związane ze stresem</w:t>
            </w:r>
          </w:p>
        </w:tc>
      </w:tr>
      <w:tr w:rsidR="00E8743E" w:rsidRPr="00797FDF" w14:paraId="2C6469D9" w14:textId="77777777" w:rsidTr="00E8743E">
        <w:tc>
          <w:tcPr>
            <w:tcW w:w="10065" w:type="dxa"/>
          </w:tcPr>
          <w:p w14:paraId="497851B4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XIV  Psychiatria społeczna (16h wykład, 16 h warsztaty)</w:t>
            </w:r>
          </w:p>
          <w:p w14:paraId="27E34507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1.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Chorzy psychicznie i choroby psychiczne w perspektywie historycznej i kulturowej </w:t>
            </w:r>
          </w:p>
          <w:p w14:paraId="54DBE0D4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Aspekty prawne: niepoczytalność , ubezwłasnowolnienie, postępowanie bez zgody, tajemnica zawodowa, problemy etyczne </w:t>
            </w:r>
          </w:p>
          <w:p w14:paraId="124D0334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Procesy wykluczanie: stereotypy, stygmatyzacja i </w:t>
            </w:r>
            <w:proofErr w:type="spellStart"/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autostygmatyzacja</w:t>
            </w:r>
            <w:proofErr w:type="spellEnd"/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, nierówne traktowanie – aspekty indywidualne i strukturalne </w:t>
            </w:r>
          </w:p>
          <w:p w14:paraId="2F80A1BB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Przeciwdziałanie wykluczaniu, praktyka umacniania i model zdrowienia. Instruktorzy / asystenci zdrowienia </w:t>
            </w:r>
          </w:p>
          <w:p w14:paraId="74C9537B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Rehabilitacja, formy aktywności społecznej </w:t>
            </w:r>
          </w:p>
          <w:p w14:paraId="6A9479A3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6.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Praca w zespołach interdyscyplinarnych </w:t>
            </w:r>
          </w:p>
          <w:p w14:paraId="5D0B480A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7.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Praktyczne rozwiązywanie zadań i konfliktów </w:t>
            </w:r>
          </w:p>
          <w:p w14:paraId="14D7A212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8.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Wspólnota lokalna wobec problemów osób z zaburzeniami psychicznymi: szanse i bariery </w:t>
            </w:r>
          </w:p>
          <w:p w14:paraId="2F713860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9.</w:t>
            </w:r>
            <w:r w:rsidRPr="00797FDF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ab/>
              <w:t xml:space="preserve">Ocena zasobów i potrzeb, budowanie koalicji społecznej, koordynacja  </w:t>
            </w:r>
          </w:p>
        </w:tc>
      </w:tr>
      <w:tr w:rsidR="00E8743E" w:rsidRPr="00797FDF" w14:paraId="3BE5C65B" w14:textId="77777777" w:rsidTr="00E8743E">
        <w:tc>
          <w:tcPr>
            <w:tcW w:w="10065" w:type="dxa"/>
          </w:tcPr>
          <w:p w14:paraId="233D6660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Moduł XV Dialog motywujący w pracy z dziećmi i młodzieżą </w:t>
            </w:r>
            <w:r w:rsidRPr="005A00E5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(16h wykład, 16 h warsztaty)</w:t>
            </w:r>
          </w:p>
          <w:p w14:paraId="058D41BA" w14:textId="77777777" w:rsidR="00E8743E" w:rsidRPr="005A00E5" w:rsidRDefault="00E8743E" w:rsidP="00DF68AE">
            <w:pPr>
              <w:numPr>
                <w:ilvl w:val="0"/>
                <w:numId w:val="1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D0027"/>
                <w:kern w:val="0"/>
                <w:sz w:val="22"/>
                <w:szCs w:val="22"/>
                <w:lang w:eastAsia="zh-CN" w:bidi="pl-PL"/>
                <w14:ligatures w14:val="none"/>
              </w:rPr>
              <w:t>Wprowadzenie do Dialogu Motywującego. Kluczowe założenia i zasady pracy. Duch Dialogu Motywującego</w:t>
            </w: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</w:t>
            </w:r>
          </w:p>
          <w:p w14:paraId="171F2FAD" w14:textId="77777777" w:rsidR="00E8743E" w:rsidRPr="005A00E5" w:rsidRDefault="00E8743E" w:rsidP="00DF68AE">
            <w:pPr>
              <w:numPr>
                <w:ilvl w:val="0"/>
                <w:numId w:val="1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Metody pracy Dialogu Motywującego. </w:t>
            </w:r>
          </w:p>
          <w:p w14:paraId="2274AEAE" w14:textId="77777777" w:rsidR="00E8743E" w:rsidRPr="005A00E5" w:rsidRDefault="00E8743E" w:rsidP="00DF68AE">
            <w:pPr>
              <w:numPr>
                <w:ilvl w:val="0"/>
                <w:numId w:val="1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Praca z oporem w duchu Dialogu Motywującego </w:t>
            </w:r>
          </w:p>
          <w:p w14:paraId="715E10D7" w14:textId="77777777" w:rsidR="00E8743E" w:rsidRPr="005A00E5" w:rsidRDefault="00E8743E" w:rsidP="00DF68AE">
            <w:pPr>
              <w:numPr>
                <w:ilvl w:val="0"/>
                <w:numId w:val="1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Zastosowanie Dialogu Motywującego w pracy z dziećmi i młodzieżą </w:t>
            </w:r>
          </w:p>
          <w:p w14:paraId="40B8FAD2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4389BE1E" w14:textId="77777777" w:rsidTr="00E8743E">
        <w:tc>
          <w:tcPr>
            <w:tcW w:w="10065" w:type="dxa"/>
          </w:tcPr>
          <w:p w14:paraId="78F754B7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Zajęcia z pomocy przedmedycznej i samoobrony – </w:t>
            </w:r>
            <w:r w:rsidRPr="005A00E5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(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4</w:t>
            </w:r>
            <w:r w:rsidRPr="005A00E5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h wykład, 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6</w:t>
            </w:r>
            <w:r w:rsidRPr="005A00E5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h warsztaty) </w:t>
            </w:r>
          </w:p>
          <w:p w14:paraId="4379F182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1. postępowanie w sytuacji zagrożenia życia (zatrzymanie krążenia – resuscytacja dziecka małego, młodzieży</w:t>
            </w:r>
          </w:p>
          <w:p w14:paraId="3832D9F9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2. postępowanie w sytuacji zagrożenia zdrowia (opatrywanie ran, oparzenie, złamanie)</w:t>
            </w:r>
          </w:p>
          <w:p w14:paraId="11E105D1" w14:textId="77777777" w:rsidR="00E8743E" w:rsidRPr="005A00E5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3. samoobrona/zabezpieczenie w sytuacji zagrożenia</w:t>
            </w:r>
          </w:p>
          <w:p w14:paraId="00A8ED09" w14:textId="77777777" w:rsidR="00E8743E" w:rsidRPr="005A00E5" w:rsidRDefault="00E8743E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after="348" w:line="276" w:lineRule="auto"/>
              <w:jc w:val="both"/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</w:pPr>
          </w:p>
          <w:p w14:paraId="6B9A1808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8743E" w:rsidRPr="00797FDF" w14:paraId="23AA1523" w14:textId="77777777" w:rsidTr="00E8743E">
        <w:tc>
          <w:tcPr>
            <w:tcW w:w="10065" w:type="dxa"/>
          </w:tcPr>
          <w:p w14:paraId="164F5526" w14:textId="77777777" w:rsidR="00E8743E" w:rsidRPr="00797FDF" w:rsidRDefault="00E8743E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>Grupa</w:t>
            </w:r>
            <w:r w:rsidRPr="00797FD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97FD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Balinta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50h</w:t>
            </w:r>
          </w:p>
        </w:tc>
      </w:tr>
    </w:tbl>
    <w:p w14:paraId="526BF32D" w14:textId="77777777" w:rsidR="00E8743E" w:rsidRDefault="00E8743E"/>
    <w:sectPr w:rsidR="00E87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EE4C" w14:textId="77777777" w:rsidR="00E8743E" w:rsidRDefault="00E8743E" w:rsidP="00E8743E">
      <w:pPr>
        <w:spacing w:after="0" w:line="240" w:lineRule="auto"/>
      </w:pPr>
      <w:r>
        <w:separator/>
      </w:r>
    </w:p>
  </w:endnote>
  <w:endnote w:type="continuationSeparator" w:id="0">
    <w:p w14:paraId="368B6AAC" w14:textId="77777777" w:rsidR="00E8743E" w:rsidRDefault="00E8743E" w:rsidP="00E8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18F0" w14:textId="77777777" w:rsidR="00E8743E" w:rsidRDefault="00E87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0A0E" w14:textId="77777777" w:rsidR="00E8743E" w:rsidRDefault="00E874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2174" w14:textId="77777777" w:rsidR="00E8743E" w:rsidRDefault="00E8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8140" w14:textId="77777777" w:rsidR="00E8743E" w:rsidRDefault="00E8743E" w:rsidP="00E8743E">
      <w:pPr>
        <w:spacing w:after="0" w:line="240" w:lineRule="auto"/>
      </w:pPr>
      <w:r>
        <w:separator/>
      </w:r>
    </w:p>
  </w:footnote>
  <w:footnote w:type="continuationSeparator" w:id="0">
    <w:p w14:paraId="49004F23" w14:textId="77777777" w:rsidR="00E8743E" w:rsidRDefault="00E8743E" w:rsidP="00E8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2DEF" w14:textId="77777777" w:rsidR="00E8743E" w:rsidRDefault="00E874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9328" w14:textId="77777777" w:rsidR="00E8743E" w:rsidRDefault="00E8743E" w:rsidP="00E8743E">
    <w:pPr>
      <w:suppressAutoHyphens/>
      <w:spacing w:after="0" w:line="240" w:lineRule="auto"/>
      <w:jc w:val="center"/>
      <w:rPr>
        <w:rFonts w:asciiTheme="majorHAnsi" w:hAnsiTheme="majorHAnsi"/>
        <w:b/>
        <w:bCs/>
        <w:i/>
        <w:iCs/>
        <w:sz w:val="32"/>
        <w:szCs w:val="32"/>
      </w:rPr>
    </w:pPr>
    <w:r w:rsidRPr="00E8743E">
      <w:rPr>
        <w:rFonts w:asciiTheme="majorHAnsi" w:hAnsiTheme="majorHAnsi"/>
        <w:b/>
        <w:bCs/>
        <w:sz w:val="32"/>
        <w:szCs w:val="32"/>
      </w:rPr>
      <w:t>S</w:t>
    </w:r>
    <w:r w:rsidRPr="00E8743E">
      <w:rPr>
        <w:rFonts w:asciiTheme="majorHAnsi" w:hAnsiTheme="majorHAnsi"/>
        <w:b/>
        <w:bCs/>
        <w:sz w:val="32"/>
        <w:szCs w:val="32"/>
      </w:rPr>
      <w:t xml:space="preserve">zkolenia </w:t>
    </w:r>
    <w:r w:rsidRPr="00E8743E">
      <w:rPr>
        <w:rFonts w:asciiTheme="majorHAnsi" w:hAnsiTheme="majorHAnsi"/>
        <w:b/>
        <w:bCs/>
        <w:i/>
        <w:iCs/>
        <w:sz w:val="32"/>
        <w:szCs w:val="32"/>
      </w:rPr>
      <w:t>Terapia środowiskowa dzieci i młodzieży</w:t>
    </w:r>
  </w:p>
  <w:p w14:paraId="14F8ED13" w14:textId="462071B9" w:rsidR="00E8743E" w:rsidRPr="004649BF" w:rsidRDefault="00E8743E" w:rsidP="00E8743E">
    <w:pPr>
      <w:suppressAutoHyphens/>
      <w:spacing w:after="0" w:line="240" w:lineRule="auto"/>
      <w:jc w:val="center"/>
      <w:rPr>
        <w:rFonts w:asciiTheme="majorHAnsi" w:eastAsia="Times New Roman" w:hAnsiTheme="majorHAnsi" w:cs="Calibri Light"/>
        <w:b/>
        <w:bCs/>
        <w:kern w:val="0"/>
        <w:lang w:eastAsia="zh-CN"/>
        <w14:ligatures w14:val="none"/>
      </w:rPr>
    </w:pPr>
    <w:r w:rsidRPr="00E8743E">
      <w:rPr>
        <w:rFonts w:asciiTheme="majorHAnsi" w:hAnsiTheme="majorHAnsi"/>
        <w:b/>
        <w:bCs/>
        <w:sz w:val="32"/>
        <w:szCs w:val="32"/>
      </w:rPr>
      <w:t xml:space="preserve"> </w:t>
    </w:r>
    <w:r w:rsidRPr="004649BF">
      <w:rPr>
        <w:rFonts w:asciiTheme="majorHAnsi" w:hAnsiTheme="majorHAnsi"/>
        <w:b/>
        <w:bCs/>
      </w:rPr>
      <w:t xml:space="preserve">w ramach projektu </w:t>
    </w:r>
    <w:bookmarkStart w:id="0" w:name="_Hlk66859899"/>
    <w:r w:rsidRPr="004649BF">
      <w:rPr>
        <w:rFonts w:asciiTheme="majorHAnsi" w:eastAsia="Times New Roman" w:hAnsiTheme="majorHAnsi" w:cs="Calibri Light"/>
        <w:b/>
        <w:bCs/>
        <w:i/>
        <w:iCs/>
        <w:kern w:val="0"/>
        <w:lang w:eastAsia="zh-CN"/>
        <w14:ligatures w14:val="none"/>
      </w:rPr>
      <w:t>Funkcjonowanie i rozwój Regionalnego Centrum Zdrowia Psychicznego Dzieci i Młodzieży przy Szpitalu Neuropsychiatrycznym im. Prof. M. Kaczyńskiego w Lublinie</w:t>
    </w:r>
    <w:bookmarkEnd w:id="0"/>
  </w:p>
  <w:p w14:paraId="2CABBE41" w14:textId="77777777" w:rsidR="00E8743E" w:rsidRDefault="00E8743E" w:rsidP="00E8743E">
    <w:pPr>
      <w:jc w:val="center"/>
    </w:pPr>
  </w:p>
  <w:p w14:paraId="2553E2D6" w14:textId="77777777" w:rsidR="00E8743E" w:rsidRDefault="00E874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F689" w14:textId="77777777" w:rsidR="00E8743E" w:rsidRDefault="00E8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 w16cid:durableId="73861442">
    <w:abstractNumId w:val="0"/>
  </w:num>
  <w:num w:numId="2" w16cid:durableId="1798794689">
    <w:abstractNumId w:val="1"/>
  </w:num>
  <w:num w:numId="3" w16cid:durableId="1431390715">
    <w:abstractNumId w:val="2"/>
  </w:num>
  <w:num w:numId="4" w16cid:durableId="1723946490">
    <w:abstractNumId w:val="3"/>
  </w:num>
  <w:num w:numId="5" w16cid:durableId="986932973">
    <w:abstractNumId w:val="5"/>
  </w:num>
  <w:num w:numId="6" w16cid:durableId="2051415156">
    <w:abstractNumId w:val="4"/>
  </w:num>
  <w:num w:numId="7" w16cid:durableId="940335646">
    <w:abstractNumId w:val="8"/>
  </w:num>
  <w:num w:numId="8" w16cid:durableId="1406225409">
    <w:abstractNumId w:val="9"/>
  </w:num>
  <w:num w:numId="9" w16cid:durableId="1686861005">
    <w:abstractNumId w:val="6"/>
  </w:num>
  <w:num w:numId="10" w16cid:durableId="2080251607">
    <w:abstractNumId w:val="10"/>
  </w:num>
  <w:num w:numId="11" w16cid:durableId="1020814330">
    <w:abstractNumId w:val="7"/>
  </w:num>
  <w:num w:numId="12" w16cid:durableId="1676377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3E"/>
    <w:rsid w:val="00071631"/>
    <w:rsid w:val="00E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5D0D7"/>
  <w15:chartTrackingRefBased/>
  <w15:docId w15:val="{A5850991-4F51-4CA1-9043-E5E87B2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3E"/>
  </w:style>
  <w:style w:type="paragraph" w:styleId="Nagwek1">
    <w:name w:val="heading 1"/>
    <w:basedOn w:val="Normalny"/>
    <w:next w:val="Normalny"/>
    <w:link w:val="Nagwek1Znak"/>
    <w:uiPriority w:val="9"/>
    <w:qFormat/>
    <w:rsid w:val="00E8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43E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87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4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8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E8743E"/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8743E"/>
  </w:style>
  <w:style w:type="paragraph" w:styleId="Nagwek">
    <w:name w:val="header"/>
    <w:basedOn w:val="Normalny"/>
    <w:link w:val="NagwekZnak"/>
    <w:uiPriority w:val="99"/>
    <w:unhideWhenUsed/>
    <w:rsid w:val="00E87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3E"/>
  </w:style>
  <w:style w:type="paragraph" w:styleId="Stopka">
    <w:name w:val="footer"/>
    <w:basedOn w:val="Normalny"/>
    <w:link w:val="StopkaZnak"/>
    <w:uiPriority w:val="99"/>
    <w:unhideWhenUsed/>
    <w:rsid w:val="00E87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2024-07-26T04:22:00Z</dcterms:created>
  <dcterms:modified xsi:type="dcterms:W3CDTF">2024-07-26T04:23:00Z</dcterms:modified>
</cp:coreProperties>
</file>